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val="0"/>
          <w:i w:val="0"/>
          <w:sz w:val="40"/>
        </w:rPr>
        <w:t>RISK ASSESSMENT</w:t>
      </w:r>
    </w:p>
    <w:p>
      <w:pPr>
        <w:spacing w:after="40"/>
      </w:pPr>
      <w:r>
        <w:rPr>
          <w:b w:val="0"/>
          <w:i w:val="0"/>
          <w:sz w:val="26"/>
        </w:rPr>
        <w:t>Liquid nitrogen use in a classroom or outreach demonstration</w:t>
      </w:r>
    </w:p>
    <w:p>
      <w:pPr>
        <w:spacing w:after="240"/>
      </w:pPr>
      <w:r>
        <w:rPr>
          <w:b w:val="0"/>
          <w:i/>
          <w:sz w:val="18"/>
        </w:rPr>
        <w:t>Prepared for use with Quantum Levitation superconductor demonstration kits — quantumlevitation.com. Edit every bracketed field, review each control against your own setting, and have the assessor sign before the session.</w:t>
      </w:r>
    </w:p>
    <w:tbl>
      <w:tblPr>
        <w:tblStyle w:val="TableGrid"/>
        <w:tblW w:type="auto" w:w="0"/>
        <w:tblLook w:firstColumn="1" w:firstRow="1" w:lastColumn="0" w:lastRow="0" w:noHBand="0" w:noVBand="1" w:val="04A0"/>
      </w:tblPr>
      <w:tblGrid>
        <w:gridCol w:w="2381"/>
        <w:gridCol w:w="7483"/>
      </w:tblGrid>
      <w:tr>
        <w:tc>
          <w:tcPr>
            <w:tcW w:type="dxa" w:w="2381"/>
            <w:shd w:val="clear" w:fill="EAECEF"/>
          </w:tcPr>
          <w:p>
            <w:r>
              <w:rPr>
                <w:b/>
                <w:sz w:val="19"/>
              </w:rPr>
              <w:t>School / organisation</w:t>
            </w:r>
          </w:p>
        </w:tc>
        <w:tc>
          <w:tcPr>
            <w:tcW w:type="dxa" w:w="7483"/>
          </w:tcPr>
          <w:p>
            <w:r>
              <w:rPr>
                <w:sz w:val="19"/>
              </w:rPr>
              <w:t>[name]</w:t>
            </w:r>
          </w:p>
        </w:tc>
      </w:tr>
      <w:tr>
        <w:tc>
          <w:tcPr>
            <w:tcW w:type="dxa" w:w="2381"/>
            <w:shd w:val="clear" w:fill="EAECEF"/>
          </w:tcPr>
          <w:p>
            <w:r>
              <w:rPr>
                <w:b/>
                <w:sz w:val="19"/>
              </w:rPr>
              <w:t>Activity</w:t>
            </w:r>
          </w:p>
        </w:tc>
        <w:tc>
          <w:tcPr>
            <w:tcW w:type="dxa" w:w="7483"/>
          </w:tcPr>
          <w:p>
            <w:r>
              <w:rPr>
                <w:sz w:val="19"/>
              </w:rPr>
              <w:t>Liquid nitrogen demonstration: superconductor levitation (quantum locking)</w:t>
            </w:r>
          </w:p>
        </w:tc>
      </w:tr>
      <w:tr>
        <w:tc>
          <w:tcPr>
            <w:tcW w:type="dxa" w:w="2381"/>
            <w:shd w:val="clear" w:fill="EAECEF"/>
          </w:tcPr>
          <w:p>
            <w:r>
              <w:rPr>
                <w:b/>
                <w:sz w:val="19"/>
              </w:rPr>
              <w:t>Location</w:t>
            </w:r>
          </w:p>
        </w:tc>
        <w:tc>
          <w:tcPr>
            <w:tcW w:type="dxa" w:w="7483"/>
          </w:tcPr>
          <w:p>
            <w:r>
              <w:rPr>
                <w:sz w:val="19"/>
              </w:rPr>
              <w:t>[room / hall]</w:t>
            </w:r>
          </w:p>
        </w:tc>
      </w:tr>
      <w:tr>
        <w:tc>
          <w:tcPr>
            <w:tcW w:type="dxa" w:w="2381"/>
            <w:shd w:val="clear" w:fill="EAECEF"/>
          </w:tcPr>
          <w:p>
            <w:r>
              <w:rPr>
                <w:b/>
                <w:sz w:val="19"/>
              </w:rPr>
              <w:t>Date(s)</w:t>
            </w:r>
          </w:p>
        </w:tc>
        <w:tc>
          <w:tcPr>
            <w:tcW w:type="dxa" w:w="7483"/>
          </w:tcPr>
          <w:p>
            <w:r>
              <w:rPr>
                <w:sz w:val="19"/>
              </w:rPr>
              <w:t>[date]</w:t>
            </w:r>
          </w:p>
        </w:tc>
      </w:tr>
      <w:tr>
        <w:tc>
          <w:tcPr>
            <w:tcW w:type="dxa" w:w="2381"/>
            <w:shd w:val="clear" w:fill="EAECEF"/>
          </w:tcPr>
          <w:p>
            <w:r>
              <w:rPr>
                <w:b/>
                <w:sz w:val="19"/>
              </w:rPr>
              <w:t>Assessor</w:t>
            </w:r>
          </w:p>
        </w:tc>
        <w:tc>
          <w:tcPr>
            <w:tcW w:type="dxa" w:w="7483"/>
          </w:tcPr>
          <w:p>
            <w:r>
              <w:rPr>
                <w:sz w:val="19"/>
              </w:rPr>
              <w:t>[name, role]</w:t>
            </w:r>
          </w:p>
        </w:tc>
      </w:tr>
      <w:tr>
        <w:tc>
          <w:tcPr>
            <w:tcW w:type="dxa" w:w="2381"/>
            <w:shd w:val="clear" w:fill="EAECEF"/>
          </w:tcPr>
          <w:p>
            <w:r>
              <w:rPr>
                <w:b/>
                <w:sz w:val="19"/>
              </w:rPr>
              <w:t>Group</w:t>
            </w:r>
          </w:p>
        </w:tc>
        <w:tc>
          <w:tcPr>
            <w:tcW w:type="dxa" w:w="7483"/>
          </w:tcPr>
          <w:p>
            <w:r>
              <w:rPr>
                <w:sz w:val="19"/>
              </w:rPr>
              <w:t>[class / audience, ages, number]</w:t>
            </w:r>
          </w:p>
        </w:tc>
      </w:tr>
      <w:tr>
        <w:tc>
          <w:tcPr>
            <w:tcW w:type="dxa" w:w="2381"/>
            <w:shd w:val="clear" w:fill="EAECEF"/>
          </w:tcPr>
          <w:p>
            <w:r>
              <w:rPr>
                <w:b/>
                <w:sz w:val="19"/>
              </w:rPr>
              <w:t>Quantity of LN2</w:t>
            </w:r>
          </w:p>
        </w:tc>
        <w:tc>
          <w:tcPr>
            <w:tcW w:type="dxa" w:w="7483"/>
          </w:tcPr>
          <w:p>
            <w:r>
              <w:rPr>
                <w:sz w:val="19"/>
              </w:rPr>
              <w:t>[typically 0.5–2 litres per session]</w:t>
            </w:r>
          </w:p>
        </w:tc>
      </w:tr>
      <w:tr>
        <w:tc>
          <w:tcPr>
            <w:tcW w:type="dxa" w:w="2381"/>
            <w:shd w:val="clear" w:fill="EAECEF"/>
          </w:tcPr>
          <w:p>
            <w:r>
              <w:rPr>
                <w:b/>
                <w:sz w:val="19"/>
              </w:rPr>
              <w:t>Review date</w:t>
            </w:r>
          </w:p>
        </w:tc>
        <w:tc>
          <w:tcPr>
            <w:tcW w:type="dxa" w:w="7483"/>
          </w:tcPr>
          <w:p>
            <w:r>
              <w:rPr>
                <w:sz w:val="19"/>
              </w:rPr>
              <w:t>[one year, or on any change]</w:t>
            </w:r>
          </w:p>
        </w:tc>
      </w:tr>
    </w:tbl>
    <w:p>
      <w:pPr>
        <w:pStyle w:val="Heading2"/>
      </w:pPr>
      <w:r>
        <w:rPr>
          <w:color w:val="0A0B0D"/>
        </w:rPr>
        <w:t>Hazards, controls and risk levels</w:t>
      </w:r>
    </w:p>
    <w:tbl>
      <w:tblPr>
        <w:tblStyle w:val="TableGrid"/>
        <w:tblW w:type="auto" w:w="0"/>
        <w:tblLook w:firstColumn="1" w:firstRow="1" w:lastColumn="0" w:lastRow="0" w:noHBand="0" w:noVBand="1" w:val="04A0"/>
      </w:tblPr>
      <w:tblGrid>
        <w:gridCol w:w="2040"/>
        <w:gridCol w:w="2040"/>
        <w:gridCol w:w="2040"/>
        <w:gridCol w:w="2040"/>
        <w:gridCol w:w="2040"/>
      </w:tblGrid>
      <w:tr>
        <w:tc>
          <w:tcPr>
            <w:tcW w:type="dxa" w:w="1928"/>
            <w:shd w:val="clear" w:fill="EAECEF"/>
          </w:tcPr>
          <w:p>
            <w:r>
              <w:rPr>
                <w:b/>
                <w:sz w:val="17"/>
              </w:rPr>
              <w:t>Hazard</w:t>
            </w:r>
          </w:p>
        </w:tc>
        <w:tc>
          <w:tcPr>
            <w:tcW w:type="dxa" w:w="2211"/>
            <w:shd w:val="clear" w:fill="EAECEF"/>
          </w:tcPr>
          <w:p>
            <w:r>
              <w:rPr>
                <w:b/>
                <w:sz w:val="17"/>
              </w:rPr>
              <w:t>Who / how harmed</w:t>
            </w:r>
          </w:p>
        </w:tc>
        <w:tc>
          <w:tcPr>
            <w:tcW w:type="dxa" w:w="3175"/>
            <w:shd w:val="clear" w:fill="EAECEF"/>
          </w:tcPr>
          <w:p>
            <w:r>
              <w:rPr>
                <w:b/>
                <w:sz w:val="17"/>
              </w:rPr>
              <w:t>Controls in place</w:t>
            </w:r>
          </w:p>
        </w:tc>
        <w:tc>
          <w:tcPr>
            <w:tcW w:type="dxa" w:w="1474"/>
            <w:shd w:val="clear" w:fill="EAECEF"/>
          </w:tcPr>
          <w:p>
            <w:r>
              <w:rPr>
                <w:b/>
                <w:sz w:val="17"/>
              </w:rPr>
              <w:t>Responsible</w:t>
            </w:r>
          </w:p>
        </w:tc>
        <w:tc>
          <w:tcPr>
            <w:tcW w:type="dxa" w:w="1077"/>
            <w:shd w:val="clear" w:fill="EAECEF"/>
          </w:tcPr>
          <w:p>
            <w:r>
              <w:rPr>
                <w:b/>
                <w:sz w:val="17"/>
              </w:rPr>
              <w:t>Residual risk</w:t>
            </w:r>
          </w:p>
        </w:tc>
      </w:tr>
      <w:tr>
        <w:tc>
          <w:tcPr>
            <w:tcW w:type="dxa" w:w="1928"/>
          </w:tcPr>
          <w:p>
            <w:r>
              <w:rPr>
                <w:b w:val="0"/>
                <w:sz w:val="17"/>
              </w:rPr>
              <w:t>Cold burns / frostbite (−196 °C liquid, cooled parts)</w:t>
            </w:r>
          </w:p>
        </w:tc>
        <w:tc>
          <w:tcPr>
            <w:tcW w:type="dxa" w:w="2211"/>
          </w:tcPr>
          <w:p>
            <w:r>
              <w:rPr>
                <w:b w:val="0"/>
                <w:sz w:val="17"/>
              </w:rPr>
              <w:t>Anyone handling the liquid, the dewar, or freshly cooled discs and magnets; skin or eye contact</w:t>
            </w:r>
          </w:p>
        </w:tc>
        <w:tc>
          <w:tcPr>
            <w:tcW w:type="dxa" w:w="3175"/>
          </w:tcPr>
          <w:p>
            <w:r>
              <w:rPr>
                <w:b w:val="0"/>
                <w:sz w:val="17"/>
              </w:rPr>
              <w:t>Only the named adult pours. Cryogenic gloves and eye protection when pouring or transferring. Cooled items handled with the tweezers supplied in the kit. Audience kept behind a marked line during pours.</w:t>
            </w:r>
          </w:p>
        </w:tc>
        <w:tc>
          <w:tcPr>
            <w:tcW w:type="dxa" w:w="1474"/>
          </w:tcPr>
          <w:p>
            <w:r>
              <w:rPr>
                <w:b w:val="0"/>
                <w:sz w:val="17"/>
              </w:rPr>
              <w:t>[adult in charge]</w:t>
            </w:r>
          </w:p>
        </w:tc>
        <w:tc>
          <w:tcPr>
            <w:tcW w:type="dxa" w:w="1077"/>
          </w:tcPr>
          <w:p>
            <w:r>
              <w:rPr>
                <w:b w:val="0"/>
                <w:sz w:val="17"/>
              </w:rPr>
              <w:t>Low</w:t>
            </w:r>
          </w:p>
        </w:tc>
      </w:tr>
      <w:tr>
        <w:tc>
          <w:tcPr>
            <w:tcW w:type="dxa" w:w="1928"/>
          </w:tcPr>
          <w:p>
            <w:r>
              <w:rPr>
                <w:b w:val="0"/>
                <w:sz w:val="17"/>
              </w:rPr>
              <w:t>Asphyxiation (1 litre of liquid becomes ~694 litres of gas)</w:t>
            </w:r>
          </w:p>
        </w:tc>
        <w:tc>
          <w:tcPr>
            <w:tcW w:type="dxa" w:w="2211"/>
          </w:tcPr>
          <w:p>
            <w:r>
              <w:rPr>
                <w:b w:val="0"/>
                <w:sz w:val="17"/>
              </w:rPr>
              <w:t>Everyone in the room, in enclosed or poorly ventilated spaces; oxygen displacement is odourless and gives no warning</w:t>
            </w:r>
          </w:p>
        </w:tc>
        <w:tc>
          <w:tcPr>
            <w:tcW w:type="dxa" w:w="3175"/>
          </w:tcPr>
          <w:p>
            <w:r>
              <w:rPr>
                <w:b w:val="0"/>
                <w:sz w:val="17"/>
              </w:rPr>
              <w:t>Room ventilated (door open or mechanical ventilation). LN2 quantity limited to what the session needs. Never carried in a lift with people. Never stored overnight in an occupied room.</w:t>
            </w:r>
          </w:p>
        </w:tc>
        <w:tc>
          <w:tcPr>
            <w:tcW w:type="dxa" w:w="1474"/>
          </w:tcPr>
          <w:p>
            <w:r>
              <w:rPr>
                <w:b w:val="0"/>
                <w:sz w:val="17"/>
              </w:rPr>
              <w:t>[adult in charge]</w:t>
            </w:r>
          </w:p>
        </w:tc>
        <w:tc>
          <w:tcPr>
            <w:tcW w:type="dxa" w:w="1077"/>
          </w:tcPr>
          <w:p>
            <w:r>
              <w:rPr>
                <w:b w:val="0"/>
                <w:sz w:val="17"/>
              </w:rPr>
              <w:t>Low</w:t>
            </w:r>
          </w:p>
        </w:tc>
      </w:tr>
      <w:tr>
        <w:tc>
          <w:tcPr>
            <w:tcW w:type="dxa" w:w="1928"/>
          </w:tcPr>
          <w:p>
            <w:r>
              <w:rPr>
                <w:b w:val="0"/>
                <w:sz w:val="17"/>
              </w:rPr>
              <w:t>Pressure build-up in a sealed container</w:t>
            </w:r>
          </w:p>
        </w:tc>
        <w:tc>
          <w:tcPr>
            <w:tcW w:type="dxa" w:w="2211"/>
          </w:tcPr>
          <w:p>
            <w:r>
              <w:rPr>
                <w:b w:val="0"/>
                <w:sz w:val="17"/>
              </w:rPr>
              <w:t>Anyone nearby; sealed vessels can rupture violently</w:t>
            </w:r>
          </w:p>
        </w:tc>
        <w:tc>
          <w:tcPr>
            <w:tcW w:type="dxa" w:w="3175"/>
          </w:tcPr>
          <w:p>
            <w:r>
              <w:rPr>
                <w:b w:val="0"/>
                <w:sz w:val="17"/>
              </w:rPr>
              <w:t>LN2 kept only in the vented dewar or an open transport flask. Sealed containers of any kind prohibited — checked before the session starts.</w:t>
            </w:r>
          </w:p>
        </w:tc>
        <w:tc>
          <w:tcPr>
            <w:tcW w:type="dxa" w:w="1474"/>
          </w:tcPr>
          <w:p>
            <w:r>
              <w:rPr>
                <w:b w:val="0"/>
                <w:sz w:val="17"/>
              </w:rPr>
              <w:t>[assessor]</w:t>
            </w:r>
          </w:p>
        </w:tc>
        <w:tc>
          <w:tcPr>
            <w:tcW w:type="dxa" w:w="1077"/>
          </w:tcPr>
          <w:p>
            <w:r>
              <w:rPr>
                <w:b w:val="0"/>
                <w:sz w:val="17"/>
              </w:rPr>
              <w:t>Low</w:t>
            </w:r>
          </w:p>
        </w:tc>
      </w:tr>
      <w:tr>
        <w:tc>
          <w:tcPr>
            <w:tcW w:type="dxa" w:w="1928"/>
          </w:tcPr>
          <w:p>
            <w:r>
              <w:rPr>
                <w:b w:val="0"/>
                <w:sz w:val="17"/>
              </w:rPr>
              <w:t>Spills and splashes</w:t>
            </w:r>
          </w:p>
        </w:tc>
        <w:tc>
          <w:tcPr>
            <w:tcW w:type="dxa" w:w="2211"/>
          </w:tcPr>
          <w:p>
            <w:r>
              <w:rPr>
                <w:b w:val="0"/>
                <w:sz w:val="17"/>
              </w:rPr>
              <w:t>Pourer and front row; liquid boils and scatters on contact with warm surfaces</w:t>
            </w:r>
          </w:p>
        </w:tc>
        <w:tc>
          <w:tcPr>
            <w:tcW w:type="dxa" w:w="3175"/>
          </w:tcPr>
          <w:p>
            <w:r>
              <w:rPr>
                <w:b w:val="0"/>
                <w:sz w:val="17"/>
              </w:rPr>
              <w:t>Pouring done over a tray, away from the audience, on a stable surface. Small quantities poured at a time. Spilled LN2 left to evaporate — never mopped or touched.</w:t>
            </w:r>
          </w:p>
        </w:tc>
        <w:tc>
          <w:tcPr>
            <w:tcW w:type="dxa" w:w="1474"/>
          </w:tcPr>
          <w:p>
            <w:r>
              <w:rPr>
                <w:b w:val="0"/>
                <w:sz w:val="17"/>
              </w:rPr>
              <w:t>[adult in charge]</w:t>
            </w:r>
          </w:p>
        </w:tc>
        <w:tc>
          <w:tcPr>
            <w:tcW w:type="dxa" w:w="1077"/>
          </w:tcPr>
          <w:p>
            <w:r>
              <w:rPr>
                <w:b w:val="0"/>
                <w:sz w:val="17"/>
              </w:rPr>
              <w:t>Low</w:t>
            </w:r>
          </w:p>
        </w:tc>
      </w:tr>
      <w:tr>
        <w:tc>
          <w:tcPr>
            <w:tcW w:type="dxa" w:w="1928"/>
          </w:tcPr>
          <w:p>
            <w:r>
              <w:rPr>
                <w:b w:val="0"/>
                <w:sz w:val="17"/>
              </w:rPr>
              <w:t>Strong neodymium magnets</w:t>
            </w:r>
          </w:p>
        </w:tc>
        <w:tc>
          <w:tcPr>
            <w:tcW w:type="dxa" w:w="2211"/>
          </w:tcPr>
          <w:p>
            <w:r>
              <w:rPr>
                <w:b w:val="0"/>
                <w:sz w:val="17"/>
              </w:rPr>
              <w:t>Pinched fingers; serious internal injury if swallowed; damage to pacemakers, cards, phones</w:t>
            </w:r>
          </w:p>
        </w:tc>
        <w:tc>
          <w:tcPr>
            <w:tcW w:type="dxa" w:w="3175"/>
          </w:tcPr>
          <w:p>
            <w:r>
              <w:rPr>
                <w:b w:val="0"/>
                <w:sz w:val="17"/>
              </w:rPr>
              <w:t>Magnets handled one at a time under supervision. Kept away from under-10s at all times. Anyone with a pacemaker stays at demonstration distance. Electronics kept off the bench.</w:t>
            </w:r>
          </w:p>
        </w:tc>
        <w:tc>
          <w:tcPr>
            <w:tcW w:type="dxa" w:w="1474"/>
          </w:tcPr>
          <w:p>
            <w:r>
              <w:rPr>
                <w:b w:val="0"/>
                <w:sz w:val="17"/>
              </w:rPr>
              <w:t>[adult in charge]</w:t>
            </w:r>
          </w:p>
        </w:tc>
        <w:tc>
          <w:tcPr>
            <w:tcW w:type="dxa" w:w="1077"/>
          </w:tcPr>
          <w:p>
            <w:r>
              <w:rPr>
                <w:b w:val="0"/>
                <w:sz w:val="17"/>
              </w:rPr>
              <w:t>Low</w:t>
            </w:r>
          </w:p>
        </w:tc>
      </w:tr>
      <w:tr>
        <w:tc>
          <w:tcPr>
            <w:tcW w:type="dxa" w:w="1928"/>
          </w:tcPr>
          <w:p>
            <w:r>
              <w:rPr>
                <w:b w:val="0"/>
                <w:sz w:val="17"/>
              </w:rPr>
              <w:t>Cold-embrittled materials</w:t>
            </w:r>
          </w:p>
        </w:tc>
        <w:tc>
          <w:tcPr>
            <w:tcW w:type="dxa" w:w="2211"/>
          </w:tcPr>
          <w:p>
            <w:r>
              <w:rPr>
                <w:b w:val="0"/>
                <w:sz w:val="17"/>
              </w:rPr>
              <w:t>Handler; some plastics shatter if flexed while frozen</w:t>
            </w:r>
          </w:p>
        </w:tc>
        <w:tc>
          <w:tcPr>
            <w:tcW w:type="dxa" w:w="3175"/>
          </w:tcPr>
          <w:p>
            <w:r>
              <w:rPr>
                <w:b w:val="0"/>
                <w:sz w:val="17"/>
              </w:rPr>
              <w:t>Only the materials supplied with the kit are cooled. Nothing improvised is placed in the liquid.</w:t>
            </w:r>
          </w:p>
        </w:tc>
        <w:tc>
          <w:tcPr>
            <w:tcW w:type="dxa" w:w="1474"/>
          </w:tcPr>
          <w:p>
            <w:r>
              <w:rPr>
                <w:b w:val="0"/>
                <w:sz w:val="17"/>
              </w:rPr>
              <w:t>[adult in charge]</w:t>
            </w:r>
          </w:p>
        </w:tc>
        <w:tc>
          <w:tcPr>
            <w:tcW w:type="dxa" w:w="1077"/>
          </w:tcPr>
          <w:p>
            <w:r>
              <w:rPr>
                <w:b w:val="0"/>
                <w:sz w:val="17"/>
              </w:rPr>
              <w:t>Low</w:t>
            </w:r>
          </w:p>
        </w:tc>
      </w:tr>
    </w:tbl>
    <w:p>
      <w:pPr>
        <w:pStyle w:val="Heading2"/>
      </w:pPr>
      <w:r>
        <w:rPr>
          <w:color w:val="0A0B0D"/>
        </w:rPr>
        <w:t>Emergency procedures</w:t>
      </w:r>
    </w:p>
    <w:p>
      <w:pPr>
        <w:pStyle w:val="ListBullet"/>
      </w:pPr>
      <w:r>
        <w:rPr>
          <w:sz w:val="19"/>
        </w:rPr>
        <w:t>Cold burn: flush with copious tepid (not hot) water for at least 15 minutes. Do not rub. Remove clothing only if not frozen to the skin. Seek medical attention for anything beyond momentary contact.</w:t>
      </w:r>
    </w:p>
    <w:p>
      <w:pPr>
        <w:pStyle w:val="ListBullet"/>
      </w:pPr>
      <w:r>
        <w:rPr>
          <w:sz w:val="19"/>
        </w:rPr>
        <w:t>Eye contact: irrigate immediately with tepid water for at least 15 minutes and seek medical attention urgently.</w:t>
      </w:r>
    </w:p>
    <w:p>
      <w:pPr>
        <w:pStyle w:val="ListBullet"/>
      </w:pPr>
      <w:r>
        <w:rPr>
          <w:sz w:val="19"/>
        </w:rPr>
        <w:t>Dizziness, drowsiness or faintness in the room: evacuate and ventilate at once — treat as oxygen depletion. Do not re-enter alone to investigate.</w:t>
      </w:r>
    </w:p>
    <w:p>
      <w:pPr>
        <w:pStyle w:val="ListBullet"/>
      </w:pPr>
      <w:r>
        <w:rPr>
          <w:sz w:val="19"/>
        </w:rPr>
        <w:t>Large spill: evacuate the immediate area, ventilate, and allow the liquid to evaporate fully before returning.</w:t>
      </w:r>
    </w:p>
    <w:p>
      <w:pPr>
        <w:pStyle w:val="ListBullet"/>
      </w:pPr>
      <w:r>
        <w:rPr>
          <w:sz w:val="19"/>
        </w:rPr>
        <w:t>Swallowed magnet: a medical emergency in all cases — hospital immediately; do not wait for symptoms.</w:t>
      </w:r>
    </w:p>
    <w:p>
      <w:pPr>
        <w:pStyle w:val="Heading2"/>
      </w:pPr>
      <w:r>
        <w:rPr>
          <w:color w:val="0A0B0D"/>
        </w:rPr>
        <w:t>Rules communicated to the group before the session</w:t>
      </w:r>
    </w:p>
    <w:p>
      <w:pPr>
        <w:pStyle w:val="ListBullet"/>
      </w:pPr>
      <w:r>
        <w:rPr>
          <w:sz w:val="19"/>
        </w:rPr>
        <w:t>Only the named adult touches the liquid nitrogen and the dewar.</w:t>
      </w:r>
    </w:p>
    <w:p>
      <w:pPr>
        <w:pStyle w:val="ListBullet"/>
      </w:pPr>
      <w:r>
        <w:rPr>
          <w:sz w:val="19"/>
        </w:rPr>
        <w:t>Participants handle cooled items only when invited, using the tweezers provided.</w:t>
      </w:r>
    </w:p>
    <w:p>
      <w:pPr>
        <w:pStyle w:val="ListBullet"/>
      </w:pPr>
      <w:r>
        <w:rPr>
          <w:sz w:val="19"/>
        </w:rPr>
        <w:t>Nobody crosses the marked line while pouring is in progress.</w:t>
      </w:r>
    </w:p>
    <w:p>
      <w:pPr>
        <w:pStyle w:val="ListBullet"/>
      </w:pPr>
      <w:r>
        <w:rPr>
          <w:sz w:val="19"/>
        </w:rPr>
        <w:t>No food or drink on or near the demonstration bench.</w:t>
      </w:r>
    </w:p>
    <w:p>
      <w:pPr>
        <w:pStyle w:val="ListBullet"/>
      </w:pPr>
      <w:r>
        <w:rPr>
          <w:sz w:val="19"/>
        </w:rPr>
        <w:t>Report any contact with the liquid immediately, however brief.</w:t>
      </w:r>
    </w:p>
    <w:p>
      <w:pPr>
        <w:pStyle w:val="Heading2"/>
      </w:pPr>
      <w:r>
        <w:rPr>
          <w:color w:val="0A0B0D"/>
        </w:rPr>
        <w:t>Sign-off</w:t>
      </w:r>
    </w:p>
    <w:tbl>
      <w:tblPr>
        <w:tblStyle w:val="TableGrid"/>
        <w:tblW w:type="auto" w:w="0"/>
        <w:tblLook w:firstColumn="1" w:firstRow="1" w:lastColumn="0" w:lastRow="0" w:noHBand="0" w:noVBand="1" w:val="04A0"/>
      </w:tblPr>
      <w:tblGrid>
        <w:gridCol w:w="3400"/>
        <w:gridCol w:w="3400"/>
        <w:gridCol w:w="3400"/>
      </w:tblGrid>
      <w:tr>
        <w:tc>
          <w:tcPr>
            <w:tcW w:type="dxa" w:w="3402"/>
            <w:shd w:val="clear" w:fill="EAECEF"/>
          </w:tcPr>
          <w:p>
            <w:r>
              <w:rPr>
                <w:b/>
                <w:sz w:val="19"/>
              </w:rPr>
              <w:t>Role</w:t>
            </w:r>
          </w:p>
        </w:tc>
        <w:tc>
          <w:tcPr>
            <w:tcW w:type="dxa" w:w="4195"/>
            <w:shd w:val="clear" w:fill="EAECEF"/>
          </w:tcPr>
          <w:p>
            <w:r>
              <w:rPr>
                <w:b/>
                <w:sz w:val="19"/>
              </w:rPr>
              <w:t>Name and signature</w:t>
            </w:r>
          </w:p>
        </w:tc>
        <w:tc>
          <w:tcPr>
            <w:tcW w:type="dxa" w:w="2268"/>
            <w:shd w:val="clear" w:fill="EAECEF"/>
          </w:tcPr>
          <w:p>
            <w:r>
              <w:rPr>
                <w:b/>
                <w:sz w:val="19"/>
              </w:rPr>
              <w:t>Date</w:t>
            </w:r>
          </w:p>
        </w:tc>
      </w:tr>
      <w:tr>
        <w:tc>
          <w:tcPr>
            <w:tcW w:type="dxa" w:w="3402"/>
          </w:tcPr>
          <w:p>
            <w:r>
              <w:rPr>
                <w:sz w:val="19"/>
              </w:rPr>
              <w:t>Assessor</w:t>
            </w:r>
          </w:p>
        </w:tc>
        <w:tc>
          <w:tcPr>
            <w:tcW w:type="dxa" w:w="4195"/>
          </w:tcPr>
          <w:p/>
        </w:tc>
        <w:tc>
          <w:tcPr>
            <w:tcW w:type="dxa" w:w="2268"/>
          </w:tcPr>
          <w:p/>
        </w:tc>
      </w:tr>
      <w:tr>
        <w:tc>
          <w:tcPr>
            <w:tcW w:type="dxa" w:w="3402"/>
          </w:tcPr>
          <w:p>
            <w:r>
              <w:rPr>
                <w:sz w:val="19"/>
              </w:rPr>
              <w:t>Adult in charge on the day</w:t>
            </w:r>
          </w:p>
        </w:tc>
        <w:tc>
          <w:tcPr>
            <w:tcW w:type="dxa" w:w="4195"/>
          </w:tcPr>
          <w:p/>
        </w:tc>
        <w:tc>
          <w:tcPr>
            <w:tcW w:type="dxa" w:w="2268"/>
          </w:tcPr>
          <w:p/>
        </w:tc>
      </w:tr>
      <w:tr>
        <w:tc>
          <w:tcPr>
            <w:tcW w:type="dxa" w:w="3402"/>
          </w:tcPr>
          <w:p>
            <w:r>
              <w:rPr>
                <w:sz w:val="19"/>
              </w:rPr>
              <w:t>Head of department / safety officer</w:t>
            </w:r>
          </w:p>
        </w:tc>
        <w:tc>
          <w:tcPr>
            <w:tcW w:type="dxa" w:w="4195"/>
          </w:tcPr>
          <w:p/>
        </w:tc>
        <w:tc>
          <w:tcPr>
            <w:tcW w:type="dxa" w:w="2268"/>
          </w:tcPr>
          <w:p/>
        </w:tc>
      </w:tr>
    </w:tbl>
    <w:p>
      <w:pPr>
        <w:spacing w:after="80"/>
      </w:pPr>
      <w:r>
        <w:rPr>
          <w:b w:val="0"/>
          <w:i w:val="0"/>
          <w:sz w:val="21"/>
        </w:rPr>
      </w:r>
    </w:p>
    <w:p>
      <w:pPr>
        <w:spacing w:after="140"/>
      </w:pPr>
      <w:r>
        <w:rPr>
          <w:b w:val="0"/>
          <w:i/>
          <w:sz w:val="16"/>
        </w:rPr>
        <w:t>This template is a starting point, not a substitute for your organisation’s own assessment process. Figures used: liquid nitrogen boils at 77 K (−196 °C); expansion ratio approximately 1:694 at room temperature.</w:t>
      </w:r>
    </w:p>
    <w:sectPr w:rsidR="00FC693F" w:rsidRPr="0006063C" w:rsidSect="00034616">
      <w:pgSz w:w="12240" w:h="15840"/>
      <w:pgMar w:top="1020" w:right="1020" w:bottom="1020"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